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F5D2">
      <w:pPr>
        <w:spacing w:after="0" w:line="295" w:lineRule="atLeast"/>
        <w:jc w:val="center"/>
        <w:outlineLvl w:val="0"/>
        <w:rPr>
          <w:rFonts w:ascii="Arial" w:hAnsi="Arial" w:eastAsia="Times New Roman" w:cs="Arial"/>
          <w:color w:val="1E7187"/>
          <w:kern w:val="36"/>
          <w:sz w:val="41"/>
          <w:szCs w:val="41"/>
          <w:lang w:eastAsia="uk-UA"/>
        </w:rPr>
      </w:pPr>
      <w:r>
        <w:rPr>
          <w:rFonts w:ascii="Arial" w:hAnsi="Arial" w:eastAsia="Times New Roman" w:cs="Arial"/>
          <w:color w:val="1E7187"/>
          <w:kern w:val="36"/>
          <w:sz w:val="41"/>
          <w:szCs w:val="41"/>
          <w:lang w:eastAsia="uk-UA"/>
        </w:rPr>
        <w:t>План заходів, спрямованих на запобігання та протидію булінгу (цькуванню) в Першотравневому</w:t>
      </w:r>
      <w:r>
        <w:rPr>
          <w:rFonts w:ascii="Arial" w:hAnsi="Arial" w:eastAsia="Times New Roman" w:cs="Arial"/>
          <w:color w:val="1E7187"/>
          <w:kern w:val="36"/>
          <w:sz w:val="41"/>
          <w:szCs w:val="41"/>
          <w:lang w:val="ru-RU" w:eastAsia="uk-UA"/>
        </w:rPr>
        <w:t xml:space="preserve"> ЗДО №17 “Оленка”</w:t>
      </w:r>
      <w:r>
        <w:rPr>
          <w:rFonts w:ascii="Arial" w:hAnsi="Arial" w:eastAsia="Times New Roman" w:cs="Arial"/>
          <w:color w:val="1E7187"/>
          <w:kern w:val="36"/>
          <w:sz w:val="41"/>
          <w:szCs w:val="41"/>
          <w:lang w:eastAsia="uk-UA"/>
        </w:rPr>
        <w:t xml:space="preserve"> </w:t>
      </w:r>
      <w:bookmarkStart w:id="0" w:name="_GoBack"/>
      <w:bookmarkEnd w:id="0"/>
    </w:p>
    <w:tbl>
      <w:tblPr>
        <w:tblStyle w:val="4"/>
        <w:tblW w:w="11550" w:type="dxa"/>
        <w:tblInd w:w="0" w:type="dxa"/>
        <w:tblBorders>
          <w:top w:val="single" w:color="32BEB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7455"/>
        <w:gridCol w:w="1680"/>
        <w:gridCol w:w="1909"/>
      </w:tblGrid>
      <w:tr w14:paraId="4E38CB33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C7B5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34D6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Заходи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A0374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Термін проведення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B0A86">
            <w:pPr>
              <w:spacing w:after="0" w:line="295" w:lineRule="atLeast"/>
              <w:jc w:val="center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Відповідальний</w:t>
            </w:r>
          </w:p>
        </w:tc>
      </w:tr>
      <w:tr w14:paraId="507AFFBC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48721">
            <w:pPr>
              <w:spacing w:after="0" w:line="295" w:lineRule="atLeast"/>
              <w:jc w:val="center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Нормативно-правове забезпечення</w:t>
            </w:r>
          </w:p>
        </w:tc>
      </w:tr>
      <w:tr w14:paraId="06292666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E313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EB72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Створення нормативно-правової бази щодо забезпечення запобігання та протидії булінгу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C912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упродовж року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D5FC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57A28FA0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8B9A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71A1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булінгу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6406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упродовж року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F09CC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2DEF8BD6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6E97E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346EE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Невідкладне інформування відповідних органів, визначених Законом України від 18.12.2018 № 2657-VIII«Про внесення змін до деяких законодавчих актів України щодо протидії булінгу (цькуванню)», у разі виявлення випадку булінгу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C1B3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у разі виявлення випадку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1F2C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4C6E6701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5D87">
            <w:pPr>
              <w:spacing w:after="0" w:line="295" w:lineRule="atLeast"/>
              <w:jc w:val="center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Робота з педагогами та колективом</w:t>
            </w:r>
          </w:p>
        </w:tc>
      </w:tr>
      <w:tr w14:paraId="545F8511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65ECC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3B6F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Організація і проведення тематичного тижня «Я маю право!»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CB9DC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1D88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7DE8123F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AF52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3F404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Консультація: «Як виявити жорстоке ставлення до дитини в сім’ї»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EA409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53E3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14EB337F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FF5C5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75FD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Проведення круглого столу «Профілактика жорстокого поводження з дітьми»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067E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8F946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09E4AED4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6535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D43E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Консультація: «Дошкільники та їх права і обов’язки»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1115D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C8E6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79686D53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7830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B31E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Інформаційно-просвітницькі заходи з учасниками освітнього процесу з питань запобігання і протидії булінгу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A6B68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98BF9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0663FB9D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81EF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91B5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Вивчення психологічного клімату в педагогічному колективі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80CC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2DF9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6E069FDF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8348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1169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Психологічні та соціально-психологічні дослідження за запитами адміністрації, педагогів, працівників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A3609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 запитом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07F3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</w:t>
            </w:r>
          </w:p>
        </w:tc>
      </w:tr>
      <w:tr w14:paraId="05A1985E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B243C">
            <w:pPr>
              <w:spacing w:after="0" w:line="295" w:lineRule="atLeast"/>
              <w:jc w:val="center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Робота з дітьми</w:t>
            </w:r>
          </w:p>
        </w:tc>
      </w:tr>
      <w:tr w14:paraId="6B35AD15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B40B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28B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Психологічне вивчення дітей «групи ризику»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3DCD8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жовтень-листопад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DA85E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6556A288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FDF56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52945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Бесіда «Мої права та обов’язки»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6C70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ABFB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Вихователі</w:t>
            </w:r>
          </w:p>
        </w:tc>
      </w:tr>
      <w:tr w14:paraId="47164D60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FE309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FC02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1D16E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66B3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Вихователі</w:t>
            </w:r>
          </w:p>
        </w:tc>
      </w:tr>
      <w:tr w14:paraId="09617864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5A9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3910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Корекційно-розвивальні заняття з дітьми старших груп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CFDE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55CD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4037596C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BBA75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A81D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Перегляд та обговорення мультфільму «Жив собі чорний кіт»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8F7E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BB7AD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660AB07F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55E19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EA094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Організація виставки малюнків «Я маю право»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19144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ABC9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28AA0A90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9468">
            <w:pPr>
              <w:spacing w:after="0" w:line="295" w:lineRule="atLeast"/>
              <w:jc w:val="center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z w:val="20"/>
                <w:szCs w:val="20"/>
                <w:lang w:eastAsia="uk-UA"/>
              </w:rPr>
              <w:t>Робота з батьками</w:t>
            </w:r>
          </w:p>
        </w:tc>
      </w:tr>
      <w:tr w14:paraId="1E40502A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CAF58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31C9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Активізувати просвітницьку роботу з питань правової освіти серед родин вихованців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5B55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78AC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3D475EE3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5494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0AEF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Забезпечити консультативну допомогу батькам з питань соціально-правового захисту дошкільників (за потребою)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531DE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B6725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58FD8F18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23135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360D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Розміщення нормативно-правових документів, телефонів довіри на інформаційних стендах та веб-сайті ЗДО для ознайомлення батьківської громадськості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BD4EE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A90E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Громадський інспектор</w:t>
            </w:r>
          </w:p>
        </w:tc>
      </w:tr>
      <w:tr w14:paraId="3DA0CAF3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1357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01CB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Семінар-практикум «Школа батьківства» (надання допомоги молодим батькам у побудові батьківсько-дитячих стосунків)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E5EB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жовтень, грудень-лютий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0B43D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Завідувач, Вихователь</w:t>
            </w:r>
          </w:p>
        </w:tc>
      </w:tr>
      <w:tr w14:paraId="1AF0D75F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AE35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267A9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Складання інформаційних буклетів для батьків (групові батьківські куточки)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1D5E4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A3F21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69D8240D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BF034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8E82F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Консультація: «Дитина та її індивідуальні особливості»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C47D0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5B8FB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319AD0EA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35876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48FA2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Консультація: «Правова освіта для маленької дитини»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1A88D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16943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  <w:tr w14:paraId="18C90222">
        <w:tblPrEx>
          <w:tblBorders>
            <w:top w:val="single" w:color="32BEB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7CB6C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20577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Педагогічна година: «Ось так ми живемо. Обговорення інклюзивних цінностей та толерантного відношення»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2D81D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color="32BEBC" w:sz="6" w:space="0"/>
              <w:left w:val="single" w:color="32BEBC" w:sz="6" w:space="0"/>
              <w:bottom w:val="single" w:color="32BEBC" w:sz="6" w:space="0"/>
              <w:right w:val="single" w:color="32BEB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CEFBA">
            <w:pPr>
              <w:spacing w:after="0" w:line="295" w:lineRule="atLeast"/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color w:val="212121"/>
                <w:sz w:val="20"/>
                <w:szCs w:val="20"/>
                <w:lang w:eastAsia="uk-UA"/>
              </w:rPr>
              <w:t>Вихователь</w:t>
            </w:r>
          </w:p>
        </w:tc>
      </w:tr>
    </w:tbl>
    <w:p w14:paraId="73F4AB70">
      <w:pPr>
        <w:shd w:val="clear" w:color="auto" w:fill="FFFFFF"/>
        <w:spacing w:after="0" w:line="240" w:lineRule="auto"/>
        <w:textAlignment w:val="baseline"/>
        <w:rPr>
          <w:rFonts w:ascii="Open Sans" w:hAnsi="Open Sans" w:eastAsia="Times New Roman" w:cs="Open Sans"/>
          <w:color w:val="222222"/>
          <w:sz w:val="24"/>
          <w:szCs w:val="24"/>
          <w:lang w:eastAsia="uk-UA"/>
        </w:rPr>
      </w:pPr>
    </w:p>
    <w:p w14:paraId="0C4B2BE9">
      <w:pPr>
        <w:spacing w:after="150" w:line="240" w:lineRule="auto"/>
        <w:ind w:firstLine="315"/>
        <w:jc w:val="center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</w:p>
    <w:p w14:paraId="5C8A4DC7">
      <w:pPr>
        <w:spacing w:after="150" w:line="240" w:lineRule="auto"/>
        <w:ind w:firstLine="315"/>
        <w:jc w:val="center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  <w:r>
        <w:rPr>
          <w:rFonts w:ascii="Tahoma" w:hAnsi="Tahoma" w:eastAsia="Times New Roman" w:cs="Tahoma"/>
          <w:color w:val="001533"/>
          <w:sz w:val="21"/>
          <w:szCs w:val="21"/>
          <w:lang w:val="ru-RU" w:eastAsia="ru-RU"/>
        </w:rPr>
        <w:drawing>
          <wp:inline distT="0" distB="0" distL="0" distR="0">
            <wp:extent cx="3657600" cy="4880610"/>
            <wp:effectExtent l="0" t="0" r="0" b="15240"/>
            <wp:docPr id="1" name="Рисунок 1" descr="http://dnz8.kupyansk.info/files/upload/images/konsultatcii_novosti/buling/unname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dnz8.kupyansk.info/files/upload/images/konsultatcii_novosti/buling/unnamed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1B1">
      <w:pPr>
        <w:spacing w:after="150" w:line="240" w:lineRule="auto"/>
        <w:ind w:firstLine="315"/>
        <w:jc w:val="center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  <w:r>
        <w:rPr>
          <w:rFonts w:ascii="Tahoma" w:hAnsi="Tahoma" w:eastAsia="Times New Roman" w:cs="Tahoma"/>
          <w:color w:val="001533"/>
          <w:sz w:val="21"/>
          <w:szCs w:val="21"/>
          <w:lang w:val="ru-RU" w:eastAsia="ru-RU"/>
        </w:rPr>
        <w:drawing>
          <wp:inline distT="0" distB="0" distL="0" distR="0">
            <wp:extent cx="5726430" cy="8092440"/>
            <wp:effectExtent l="0" t="0" r="7620" b="3810"/>
            <wp:docPr id="2" name="Рисунок 2" descr="http://dnz8.kupyansk.info/files/upload/images/konsultatcii_novosti/buling/710271914866040352575506975484392915337216n_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dnz8.kupyansk.info/files/upload/images/konsultatcii_novosti/buling/710271914866040352575506975484392915337216n__kopi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E528">
      <w:pPr>
        <w:spacing w:after="150" w:line="240" w:lineRule="auto"/>
        <w:ind w:firstLine="315"/>
        <w:jc w:val="center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  <w:r>
        <w:rPr>
          <w:rFonts w:ascii="Tahoma" w:hAnsi="Tahoma" w:eastAsia="Times New Roman" w:cs="Tahoma"/>
          <w:color w:val="001533"/>
          <w:sz w:val="21"/>
          <w:szCs w:val="21"/>
          <w:lang w:val="ru-RU" w:eastAsia="ru-RU"/>
        </w:rPr>
        <w:drawing>
          <wp:inline distT="0" distB="0" distL="0" distR="0">
            <wp:extent cx="4746625" cy="2679065"/>
            <wp:effectExtent l="0" t="0" r="15875" b="6985"/>
            <wp:docPr id="3" name="Рисунок 3" descr="http://dnz8.kupyansk.info/files/upload/images/konsultatcii_novosti/buling/bul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dnz8.kupyansk.info/files/upload/images/konsultatcii_novosti/buling/bulin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885">
      <w:pPr>
        <w:spacing w:after="150" w:line="240" w:lineRule="auto"/>
        <w:ind w:firstLine="315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  <w:r>
        <w:rPr>
          <w:rFonts w:ascii="Tahoma" w:hAnsi="Tahoma" w:eastAsia="Times New Roman" w:cs="Tahoma"/>
          <w:color w:val="001533"/>
          <w:sz w:val="21"/>
          <w:szCs w:val="21"/>
          <w:lang w:val="ru-RU" w:eastAsia="ru-RU"/>
        </w:rPr>
        <w:drawing>
          <wp:inline distT="0" distB="0" distL="0" distR="0">
            <wp:extent cx="6700520" cy="4735830"/>
            <wp:effectExtent l="0" t="0" r="5080" b="7620"/>
            <wp:docPr id="4" name="Рисунок 4" descr="http://dnz8.kupyansk.info/files/upload/images/konsultatcii_novosti/buling/FBIMG1587914151593_1_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dnz8.kupyansk.info/files/upload/images/konsultatcii_novosti/buling/FBIMG1587914151593_1__kopiy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DAC3B">
      <w:pPr>
        <w:spacing w:after="150" w:line="240" w:lineRule="auto"/>
        <w:ind w:firstLine="315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  <w:r>
        <w:rPr>
          <w:rFonts w:ascii="Tahoma" w:hAnsi="Tahoma" w:eastAsia="Times New Roman" w:cs="Tahoma"/>
          <w:color w:val="001533"/>
          <w:sz w:val="21"/>
          <w:szCs w:val="21"/>
          <w:lang w:val="ru-RU" w:eastAsia="ru-RU"/>
        </w:rPr>
        <w:drawing>
          <wp:inline distT="0" distB="0" distL="0" distR="0">
            <wp:extent cx="6863080" cy="4589145"/>
            <wp:effectExtent l="0" t="0" r="13970" b="1905"/>
            <wp:docPr id="5" name="Рисунок 5" descr="http://dnz8.kupyansk.info/files/upload/images/konsultatcii_novosti/buling/FBIMG1587914145907_2_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dnz8.kupyansk.info/files/upload/images/konsultatcii_novosti/buling/FBIMG1587914145907_2__kopi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08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DAC9">
      <w:pPr>
        <w:spacing w:after="150" w:line="240" w:lineRule="auto"/>
        <w:ind w:firstLine="315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</w:p>
    <w:p w14:paraId="744C8A94">
      <w:pPr>
        <w:spacing w:after="150" w:line="240" w:lineRule="auto"/>
        <w:ind w:firstLine="315"/>
        <w:jc w:val="center"/>
        <w:rPr>
          <w:rFonts w:ascii="Tahoma" w:hAnsi="Tahoma" w:eastAsia="Times New Roman" w:cs="Tahoma"/>
          <w:color w:val="001533"/>
          <w:sz w:val="21"/>
          <w:szCs w:val="21"/>
          <w:lang w:eastAsia="uk-UA"/>
        </w:rPr>
      </w:pPr>
      <w:r>
        <w:rPr>
          <w:rFonts w:ascii="Tahoma" w:hAnsi="Tahoma" w:eastAsia="Times New Roman" w:cs="Tahoma"/>
          <w:color w:val="001533"/>
          <w:sz w:val="21"/>
          <w:szCs w:val="21"/>
          <w:lang w:val="ru-RU" w:eastAsia="ru-RU"/>
        </w:rPr>
        <w:drawing>
          <wp:inline distT="0" distB="0" distL="0" distR="0">
            <wp:extent cx="4880610" cy="2960370"/>
            <wp:effectExtent l="0" t="0" r="15240" b="11430"/>
            <wp:docPr id="6" name="Рисунок 6" descr="http://dnz8.kupyansk.info/files/upload/images/konsultatcii_novosti/buling/unnam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dnz8.kupyansk.info/files/upload/images/konsultatcii_novosti/buling/unnamed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707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panose1 w:val="020B0606030504020204"/>
    <w:charset w:val="CC"/>
    <w:family w:val="swiss"/>
    <w:pitch w:val="default"/>
    <w:sig w:usb0="E00002EF" w:usb1="4000205B" w:usb2="00000028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7D"/>
    <w:rsid w:val="00486E0B"/>
    <w:rsid w:val="0050267D"/>
    <w:rsid w:val="00A234E9"/>
    <w:rsid w:val="00CE6B56"/>
    <w:rsid w:val="00CF48E0"/>
    <w:rsid w:val="00E87310"/>
    <w:rsid w:val="0AF63D65"/>
    <w:rsid w:val="23D908D2"/>
    <w:rsid w:val="42452564"/>
    <w:rsid w:val="65B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449</Words>
  <Characters>2561</Characters>
  <Lines>21</Lines>
  <Paragraphs>6</Paragraphs>
  <TotalTime>2</TotalTime>
  <ScaleCrop>false</ScaleCrop>
  <LinksUpToDate>false</LinksUpToDate>
  <CharactersWithSpaces>3004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2021-10-29T19:54:00Z</dcterms:created>
  <dc:creator>persh</dc:creator>
  <cp:lastModifiedBy>Тетяна Ніколаєн�</cp:lastModifiedBy>
  <dcterms:modified xsi:type="dcterms:W3CDTF">2025-11-30T16:19:04Z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2E28209DF6CD483DAD1E7E8565B7A213</vt:lpwstr>
  </property>
</Properties>
</file>